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附件1：</w:t>
      </w:r>
    </w:p>
    <w:p>
      <w:pPr>
        <w:spacing w:before="312" w:beforeLines="100"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湖北第二师范学院资产折旧（摊销）年限规定</w:t>
      </w:r>
    </w:p>
    <w:p>
      <w:pPr>
        <w:spacing w:before="936" w:beforeLines="300" w:line="4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省财政厅关于做好全省行政事业单位国有资产管理基础工作的通知》，依照财政部《政府会计准则第3号——固定资产》和《关于高等学校执行&lt;政府会计制度——行政事业单位会计科目和报表&gt;的补充规定》相关要求，结合我校实际情况，特制订本规定。</w:t>
      </w:r>
    </w:p>
    <w:p>
      <w:pPr>
        <w:spacing w:before="156" w:beforeLines="50" w:line="48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一、折旧（摊销）方法</w:t>
      </w:r>
    </w:p>
    <w:p>
      <w:pPr>
        <w:spacing w:before="156" w:beforeLines="50" w:line="480" w:lineRule="exact"/>
        <w:ind w:firstLine="640" w:firstLineChars="200"/>
      </w:pPr>
      <w:r>
        <w:rPr>
          <w:rFonts w:hint="eastAsia" w:ascii="仿宋_GB2312" w:eastAsia="仿宋_GB2312" w:hAnsiTheme="minorEastAsia"/>
          <w:sz w:val="32"/>
          <w:szCs w:val="32"/>
        </w:rPr>
        <w:t>采用年限平均法计提资产折旧</w:t>
      </w:r>
    </w:p>
    <w:p>
      <w:pPr>
        <w:spacing w:before="156" w:beforeLines="50" w:line="48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二、折旧（摊销）年限</w:t>
      </w:r>
    </w:p>
    <w:tbl>
      <w:tblPr>
        <w:tblStyle w:val="5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2835"/>
        <w:gridCol w:w="3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资产类别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折旧（摊销）年限（年）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一、房屋及构建物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1、房屋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钢筋混凝土结构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砖混结构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砖木结构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2.简易房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3.房屋附属设施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围墙、停车设施有等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4.构建物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池、罐、槽、塔等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二、通用设备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1.计算机设备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计算机、网络设备、安全设备、终端设备、存储设备等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2.办公设备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电话机、传真机、摄像机、刻录机等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3.车辆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载货汽车、牵引汽车、乘用车、专用车辆等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4.图书档案设备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5.机械设备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锅炉、液压机械、金属加工设备、泵、风机、气体压缩机、气体分离及液化设备、分离及干燥设备等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6.电气设备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电机、变压器、电源设备、生活用电器等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7.雷达、无线电和卫星导航设备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8.通信设备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9.广播、电视、电影设备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10.仪器仪表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11.电子和通信测量设备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12.计量标准器具及量具、衡器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1.探矿、采矿、选矿和造块设备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2.石油天然气开采专用设备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3.石油和化学工业专用设备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4.炼焦和金属冶炼轧制设备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5.电力工业专用设备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6.非金属矿物制品工业专用设备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7.核工业专用设备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8.航空航天工业专用设备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9.工程机械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10.农业和林业机械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11.木材采集和加工设备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12.食品加工专用设备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13.饮料加工设备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14.烟草加工设备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15.粮油作物和饲料加工设备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16.纺织设备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17.缝纫、服饰、制革和毛皮加工设备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18.造纸和印刷机械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19.化学药品和中药专用设备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20.医疗设备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21.电工、电子专用生产设备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22.安全生产设备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23.邮政专用设备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24.环境污染防治设备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25.公安专用设备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26.水工机械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27.殡葬设备及用品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28.铁路运输设备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29.水上交通运输设备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30.航空器及其配套设备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31.专用仪器仪表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32.文艺设备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33.体育设备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34.娱乐设备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四、家具、用具、装具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1.家具、用具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2.被服装具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五、文物陈列馆品、图书档案、动植物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1.文物陈列品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2.图书档案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3.动植物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4.不可估价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六、无形资产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1.软件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2.土地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5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3.不可估价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不计提折旧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before="156" w:beforeLines="50" w:line="48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三、生效日期</w:t>
      </w:r>
    </w:p>
    <w:p>
      <w:r>
        <w:rPr>
          <w:rFonts w:hint="eastAsia" w:ascii="仿宋_GB2312" w:eastAsia="仿宋_GB2312" w:hAnsiTheme="minorEastAsia"/>
          <w:sz w:val="32"/>
          <w:szCs w:val="32"/>
        </w:rPr>
        <w:t>本规定自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2019年9月19日</w:t>
      </w:r>
      <w:r>
        <w:rPr>
          <w:rFonts w:hint="eastAsia" w:ascii="仿宋_GB2312" w:eastAsia="仿宋_GB2312" w:hAnsiTheme="minorEastAsia"/>
          <w:sz w:val="32"/>
          <w:szCs w:val="32"/>
        </w:rPr>
        <w:t>印发执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行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01348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1"/>
    <w:rsid w:val="0009648A"/>
    <w:rsid w:val="00450372"/>
    <w:rsid w:val="005002BD"/>
    <w:rsid w:val="005C7F98"/>
    <w:rsid w:val="00706CC4"/>
    <w:rsid w:val="007528E7"/>
    <w:rsid w:val="007F6ECB"/>
    <w:rsid w:val="008F4F7E"/>
    <w:rsid w:val="009A0A01"/>
    <w:rsid w:val="00A54E2D"/>
    <w:rsid w:val="00C561DE"/>
    <w:rsid w:val="00D04236"/>
    <w:rsid w:val="00FB697A"/>
    <w:rsid w:val="1A606F9F"/>
    <w:rsid w:val="42CD3E67"/>
    <w:rsid w:val="456D5968"/>
    <w:rsid w:val="67B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2016-03-07T08:34:00Z</dcterms:created>
  <dc:creator>WIN</dc:creator>
  <cp:lastModifiedBy>Lenovo</cp:lastModifiedBy>
  <dcterms:modified xsi:type="dcterms:W3CDTF">2020-05-29T10:15:17Z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